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3"/>
        <w:shd w:val="clear" w:color="auto" w:fill="FFFFFF"/>
        <w:spacing w:before="0" w:beforeAutospacing="0" w:after="0" w:afterAutospacing="0"/>
        <w:ind w:firstLine="601"/>
        <w:jc w:val="center"/>
        <w:rPr>
          <w:b/>
          <w:color w:val="333333"/>
          <w:sz w:val="30"/>
          <w:szCs w:val="30"/>
        </w:rPr>
      </w:pPr>
      <w:r>
        <w:rPr>
          <w:b/>
          <w:color w:val="333333"/>
          <w:sz w:val="30"/>
          <w:szCs w:val="30"/>
        </w:rPr>
        <w:t>Гуманитарный проект</w:t>
      </w:r>
    </w:p>
    <w:p>
      <w:pPr>
        <w:pStyle w:val="a3"/>
        <w:shd w:val="clear" w:color="auto" w:fill="FFFFFF"/>
        <w:spacing w:before="0" w:beforeAutospacing="0" w:after="0" w:afterAutospacing="0"/>
        <w:ind w:firstLine="601"/>
        <w:jc w:val="center"/>
        <w:rPr>
          <w:b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учреждения культуры </w:t>
      </w:r>
      <w:r>
        <w:rPr>
          <w:b/>
          <w:sz w:val="30"/>
          <w:szCs w:val="30"/>
        </w:rPr>
        <w:t xml:space="preserve">«Могилевский областной художественный музей имени </w:t>
      </w:r>
      <w:proofErr w:type="spellStart"/>
      <w:r>
        <w:rPr>
          <w:b/>
          <w:sz w:val="30"/>
          <w:szCs w:val="30"/>
        </w:rPr>
        <w:t>П.В.Масленикова</w:t>
      </w:r>
      <w:proofErr w:type="spellEnd"/>
      <w:r>
        <w:rPr>
          <w:b/>
          <w:sz w:val="30"/>
          <w:szCs w:val="30"/>
        </w:rPr>
        <w:t>»</w:t>
      </w:r>
    </w:p>
    <w:p>
      <w:pPr>
        <w:pStyle w:val="a3"/>
        <w:shd w:val="clear" w:color="auto" w:fill="FFFFFF"/>
        <w:spacing w:before="0" w:beforeAutospacing="0" w:after="0" w:afterAutospacing="0"/>
        <w:ind w:firstLine="601"/>
        <w:jc w:val="center"/>
        <w:rPr>
          <w:b/>
          <w:sz w:val="30"/>
          <w:szCs w:val="30"/>
        </w:rPr>
      </w:pPr>
    </w:p>
    <w:p>
      <w:pPr>
        <w:pStyle w:val="a3"/>
        <w:shd w:val="clear" w:color="auto" w:fill="FFFFFF"/>
        <w:spacing w:before="0" w:beforeAutospacing="0" w:after="0" w:afterAutospacing="0"/>
        <w:ind w:firstLine="601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«МУЗЕЙ БЕЗ ГРАНИЦ»</w:t>
      </w:r>
    </w:p>
    <w:p>
      <w:pPr>
        <w:pStyle w:val="a3"/>
        <w:shd w:val="clear" w:color="auto" w:fill="FFFFFF"/>
        <w:spacing w:before="0" w:beforeAutospacing="0" w:after="0" w:afterAutospacing="0"/>
        <w:ind w:firstLine="601"/>
        <w:jc w:val="center"/>
        <w:rPr>
          <w:b/>
          <w:color w:val="333333"/>
          <w:sz w:val="30"/>
          <w:szCs w:val="30"/>
        </w:rPr>
      </w:pPr>
    </w:p>
    <w:p>
      <w:pPr>
        <w:pStyle w:val="a3"/>
        <w:shd w:val="clear" w:color="auto" w:fill="FFFFFF"/>
        <w:spacing w:before="0" w:beforeAutospacing="0" w:after="0" w:afterAutospacing="0"/>
        <w:ind w:firstLine="601"/>
        <w:jc w:val="center"/>
        <w:rPr>
          <w:color w:val="333333"/>
          <w:sz w:val="30"/>
          <w:szCs w:val="30"/>
        </w:rPr>
      </w:pPr>
      <w:r>
        <w:rPr>
          <w:noProof/>
          <w:color w:val="333333"/>
          <w:sz w:val="30"/>
          <w:szCs w:val="30"/>
        </w:rPr>
        <w:drawing>
          <wp:inline distT="0" distB="0" distL="0" distR="0">
            <wp:extent cx="5572850" cy="4055165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50" cy="40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shd w:val="clear" w:color="auto" w:fill="FFFFFF"/>
        <w:spacing w:before="0" w:beforeAutospacing="0" w:after="0" w:afterAutospacing="0"/>
        <w:ind w:firstLine="601"/>
        <w:jc w:val="center"/>
        <w:rPr>
          <w:color w:val="333333"/>
          <w:sz w:val="30"/>
          <w:szCs w:val="30"/>
        </w:rPr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1"/>
      </w:tblGrid>
      <w:tr>
        <w:tc>
          <w:tcPr>
            <w:tcW w:w="9581" w:type="dxa"/>
          </w:tcPr>
          <w:p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16" w:hanging="284"/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Наименование проекта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«Музей без границ» </w:t>
            </w:r>
          </w:p>
          <w:p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>
        <w:tc>
          <w:tcPr>
            <w:tcW w:w="9581" w:type="dxa"/>
          </w:tcPr>
          <w:p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316" w:hanging="284"/>
              <w:rPr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Наименование организации: </w:t>
            </w:r>
            <w:r>
              <w:rPr>
                <w:bCs/>
                <w:sz w:val="30"/>
                <w:szCs w:val="30"/>
              </w:rPr>
              <w:t>у</w:t>
            </w:r>
            <w:r>
              <w:rPr>
                <w:color w:val="000000"/>
                <w:sz w:val="30"/>
                <w:szCs w:val="30"/>
              </w:rPr>
              <w:t xml:space="preserve">чреждение культуры </w:t>
            </w:r>
            <w:r>
              <w:rPr>
                <w:sz w:val="30"/>
                <w:szCs w:val="30"/>
              </w:rPr>
              <w:t xml:space="preserve">«Могилевский областной художественный музей имени </w:t>
            </w:r>
            <w:proofErr w:type="spellStart"/>
            <w:r>
              <w:rPr>
                <w:sz w:val="30"/>
                <w:szCs w:val="30"/>
              </w:rPr>
              <w:t>П.В.Масленикова</w:t>
            </w:r>
            <w:proofErr w:type="spellEnd"/>
            <w:r>
              <w:rPr>
                <w:sz w:val="30"/>
                <w:szCs w:val="30"/>
              </w:rPr>
              <w:t xml:space="preserve">» </w:t>
            </w:r>
          </w:p>
          <w:p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sz w:val="16"/>
                <w:szCs w:val="16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rPr>
                <w:rStyle w:val="a5"/>
                <w:rFonts w:ascii="Times New Roman" w:hAnsi="Times New Roman"/>
                <w:b w:val="0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Style w:val="a5"/>
                <w:rFonts w:ascii="Times New Roman" w:hAnsi="Times New Roman"/>
                <w:color w:val="000000"/>
                <w:sz w:val="30"/>
                <w:szCs w:val="30"/>
                <w:shd w:val="clear" w:color="auto" w:fill="FFFFFF"/>
              </w:rPr>
              <w:t xml:space="preserve">3. Физический и юридический адрес организации, телефон, факс,    </w:t>
            </w:r>
            <w:proofErr w:type="gramStart"/>
            <w:r>
              <w:rPr>
                <w:rStyle w:val="a5"/>
                <w:rFonts w:ascii="Times New Roman" w:hAnsi="Times New Roman"/>
                <w:color w:val="000000"/>
                <w:sz w:val="30"/>
                <w:szCs w:val="30"/>
                <w:shd w:val="clear" w:color="auto" w:fill="FFFFFF"/>
              </w:rPr>
              <w:t>е</w:t>
            </w:r>
            <w:proofErr w:type="gramEnd"/>
            <w:r>
              <w:rPr>
                <w:rStyle w:val="a5"/>
                <w:rFonts w:ascii="Times New Roman" w:hAnsi="Times New Roman"/>
                <w:color w:val="000000"/>
                <w:sz w:val="30"/>
                <w:szCs w:val="30"/>
                <w:shd w:val="clear" w:color="auto" w:fill="FFFFFF"/>
              </w:rPr>
              <w:t>-</w:t>
            </w:r>
            <w:proofErr w:type="spellStart"/>
            <w:r>
              <w:rPr>
                <w:rStyle w:val="a5"/>
                <w:rFonts w:ascii="Times New Roman" w:hAnsi="Times New Roman"/>
                <w:color w:val="000000"/>
                <w:sz w:val="30"/>
                <w:szCs w:val="30"/>
                <w:shd w:val="clear" w:color="auto" w:fill="FFFFFF"/>
              </w:rPr>
              <w:t>mail</w:t>
            </w:r>
            <w:proofErr w:type="spellEnd"/>
            <w:r>
              <w:rPr>
                <w:rStyle w:val="a5"/>
                <w:rFonts w:ascii="Times New Roman" w:hAnsi="Times New Roman"/>
                <w:color w:val="000000"/>
                <w:sz w:val="30"/>
                <w:szCs w:val="30"/>
                <w:shd w:val="clear" w:color="auto" w:fill="FFFFFF"/>
              </w:rPr>
              <w:t xml:space="preserve">: </w:t>
            </w:r>
            <w:r>
              <w:rPr>
                <w:rStyle w:val="a5"/>
                <w:rFonts w:ascii="Times New Roman" w:hAnsi="Times New Roman"/>
                <w:b w:val="0"/>
                <w:color w:val="000000"/>
                <w:sz w:val="30"/>
                <w:szCs w:val="30"/>
                <w:shd w:val="clear" w:color="auto" w:fill="FFFFFF"/>
              </w:rPr>
              <w:t>Республика Беларусь, 212030 г. Могилев, ул. Миронова 33,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>
              <w:rPr>
                <w:rStyle w:val="a5"/>
                <w:rFonts w:ascii="Times New Roman" w:hAnsi="Times New Roman"/>
                <w:b w:val="0"/>
                <w:color w:val="000000"/>
                <w:sz w:val="30"/>
                <w:szCs w:val="30"/>
                <w:shd w:val="clear" w:color="auto" w:fill="FFFFFF"/>
              </w:rPr>
              <w:t>т/ф.+375 222 766121, Е-</w:t>
            </w:r>
            <w:r>
              <w:rPr>
                <w:rStyle w:val="a5"/>
                <w:rFonts w:ascii="Times New Roman" w:hAnsi="Times New Roman"/>
                <w:b w:val="0"/>
                <w:color w:val="000000"/>
                <w:sz w:val="30"/>
                <w:szCs w:val="30"/>
                <w:shd w:val="clear" w:color="auto" w:fill="FFFFFF"/>
                <w:lang w:val="en-US"/>
              </w:rPr>
              <w:t>mail</w:t>
            </w:r>
            <w:r>
              <w:rPr>
                <w:rStyle w:val="a5"/>
                <w:rFonts w:ascii="Times New Roman" w:hAnsi="Times New Roman"/>
                <w:b w:val="0"/>
                <w:color w:val="000000"/>
                <w:sz w:val="30"/>
                <w:szCs w:val="30"/>
                <w:shd w:val="clear" w:color="auto" w:fill="FFFFFF"/>
              </w:rPr>
              <w:t>:</w:t>
            </w:r>
            <w:r>
              <w:rPr>
                <w:rStyle w:val="a5"/>
                <w:rFonts w:ascii="Times New Roman" w:hAnsi="Times New Roman"/>
                <w:b w:val="0"/>
                <w:color w:val="000000"/>
                <w:sz w:val="30"/>
                <w:szCs w:val="30"/>
                <w:shd w:val="clear" w:color="auto" w:fill="FFFFFF"/>
                <w:lang w:val="en-US"/>
              </w:rPr>
              <w:t>info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t>@</w:t>
            </w:r>
            <w:proofErr w:type="spellStart"/>
            <w:r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maslenikov</w:t>
            </w:r>
            <w:proofErr w:type="spellEnd"/>
            <w:r>
              <w:rPr>
                <w:rFonts w:ascii="Times New Roman" w:hAnsi="Times New Roman"/>
                <w:color w:val="000000"/>
                <w:sz w:val="30"/>
                <w:szCs w:val="30"/>
              </w:rPr>
              <w:t>.</w:t>
            </w:r>
            <w:r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by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ind w:firstLine="166"/>
              <w:jc w:val="both"/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4. Информация об организации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Учреждение культуры «Могилевский областной художественный музей имени П.В. Масленикова» расположено в центре города Могилева. Здание музея является памятником архитектуры начала ХХ века. Он был спроектирован архитектором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А.В.Друкером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для поземельно-крестьянского банка.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В 1917 году в здании разместилось издательство газеты «Революционный штаб».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lastRenderedPageBreak/>
              <w:t xml:space="preserve">С мая 1919 года здесь располагается Могилевский государственный исторический музей. Его достопримечательностью была бронированная комната-сейф, в которой хранились музейные реликвии. Среди ценностей были Крест Евфросинии Полоцкой 1161 года, выполненный Лазарем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Богшей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, коллекция белорусских рукописных книг и писем (175 единиц), оружие X–XIV 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ве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ков (280 единиц), монеты (1800 единиц), иконы XVII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–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XIX веков, булава Сигизмунда III, картины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И.Айвазовского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И.Репина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В.Серова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и других известных художников,  митра могилевского архиепископа Георгия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Конисского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, плащаница 1566 года близкой родственницы жены Ивана Грозного Анастасии Романовны 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–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Анны Федоровны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Палецкой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, первая печатная Минея, царские грамоты XVI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–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XVIII веков (26 единиц), рукописные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ирмы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1697 года с рисунками и многое другое.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Их судьба осталась неизвестной, так как началась Великая Отечественная война, и экспонаты были вывезены за пределы Могилева.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В 1944 году, после освобождения города, в здании разместились обком и горком партии, позже редакция газеты «Могилевская правда».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19 ноября 1990 года был открыт Могилевский областной художественный музей. 28 июля 1994 г. в музее начала работу первая в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 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Республике Беларусь авторская галерея Павла Васильевича Масленикова – Народного художника Беларуси.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22 января 1996 г. Указом Президента Республики Беларусь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А.Г.Лукашенко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Могилевскому областному художественному музею присвоено имя П.В. Масленикова.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С 1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января 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2021 г. Могилевский областной художественный музей имени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П.В.Масленникова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имеет филиал «Художественный музей 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                         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им.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В.К.Бялыницкого-Бирули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г.Белыничи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».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На сегодняшний день в Могилевском областном художественном музее имени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П.В.Масленикова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размещаются постоянные экспозиции: «Картинная галерея народного художника Беларуси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П.В.Масленикова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», «Сохраненное наследие», «Тайна креста».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Хотелось бы отметить самый интересный экспонат в собрании «Печатные издания» — книгу «Новое небо» 1699 года, которая была издана в могилевской братской типографии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М.Ващанки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Оригинальным и интересным памятником монументальной живописи середины XVIII века являются настенные росписи лестницы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Белыничского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монастыря кармелитов, в поселке городского типа Белыничи, над которым работал монах Иосиф с двумя помощниками Шульцем и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Прозаром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В 1978 году из-за чрезвычайной ситуации в здании остатки монастыря должны были быть взорваны. Фрески были сняты и 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lastRenderedPageBreak/>
              <w:t xml:space="preserve">отправлены в Минск на консервацию.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Сегодня это уникальный и единственный памятник на постсоветском пространстве. На сегодняшний день фрески «Преображение» и «Несение креста» представлены в экспозиции «Сохраненное наследие» и в филиале музея.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С 1996 года в Могилевской области началась история пленэрного движения. На базе Областного художественного музея имени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П.В.Масленикова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состоялся I Международный пленэр по живописи «Образ Родины в изобразительном искусстве», посвященный памяти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В.К.Бялыницкого-Бирули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. С тех пор пленэры стали традиционными и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 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посвящены известным художникам Могилевской земли, искусствоведам, знаменательным событиям. На протяжении многих лет в пленэрах принимали участие художники из Беларуси, Литвы, Израиля, Индии, Китая, Сербии, Польши, России, Украины и других стран.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val="be-BY"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 рамках пленэра проводятся мастер-классы, творческие встречи, вечера национальных культур. Для гостей предусмотрена обширная культурная программа, знакомство с музеями города и его достопримечательностями. По итогам пленэра в музее проходит итоговая выставка работ участников. Пленэр – это незабываемые встречи, активная творческая работа на свежем воздухе, сохранение и развитие реалистических традиций, обмен опытом, «секреты» мастерства, широкий круг контактов, открытие чего-то нового.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val="be-BY"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Могилевский художественный музей имени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П.В.Масленикова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находится в расцвете сил, у него много масштабных художественных проектов, которые успешно реализуются.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Выставочные проекты стали яркими событиями в жизни музея в 2020 году: «Меняя реальность» Никаса Сафронова, заслуженного художника России, академика Российской академии художеств, профессора Ульяновского государственного университета; выставочный проект «Это надо не мертвым! Это надо живым... » из фондовой коллекции музея, посвященной 75-летию Победы в Великой Отечественной войне.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val="be-BY"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Впервые совместно с Курской государственной картинной галереей имени А.А. Дейнеки организован новый международный виртуальный выставочный проект «Была война» в честь 75-летия победы в Великой Отечественной войне (в виртуальном пространстве его посмотрели 55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 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075 человек). Дальнейшее сотрудничество планируется в 2021 году.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val="be-BY"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6 ноября 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2020 года организована работа художественной студии по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 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изготовлению куклы «Забава».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Были организованы следующие мероприятия: конкурс детских работ «Музей будущего»; «Мой Любимый Город М», посвященный Дню города; «Экология и искусство» и другие.  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lastRenderedPageBreak/>
              <w:t xml:space="preserve">Разработаны и представлены мультимедийные продукты: образовательные площадки,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видеоэкскурсии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(«Сохраненное наследие», фрагмент фрески «Преображение Господне», «Неизвестный Маслеников» — эскиз декораций к опере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А.Понкиели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«Джоконда», сюжет иконы «Чудо Георгия о Змее»; «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П.В.Маслеников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и война», сюжет иконы «Архангел Гавриил» и др.).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Введены новые рубрики для социальных сетей: «Цитата дня» (18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 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публикаций), «Образовательная платформа» (27 публикаций), #Art30. Подготовлено и размещено в социальных сетях 6 виртуальных выставок, проведено 3 онлайн-викторины. Общее количество музейных экспонатов основного фонда 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–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6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242 единицы, научный вспомогательный фонд 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>–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1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713 единиц хранения.</w:t>
            </w:r>
          </w:p>
          <w:p>
            <w:pPr>
              <w:spacing w:after="0" w:line="240" w:lineRule="auto"/>
              <w:ind w:firstLine="449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lastRenderedPageBreak/>
              <w:t xml:space="preserve">5. Руководитель организации: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Боброва Елена Владимировна, директор, 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тел.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+375 222 782124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6. Менеджер проекта: </w:t>
            </w:r>
            <w:r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  <w:t>Косарев Виталий Александрович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, ведущий юрисконсульт, тел. +375 222 711757,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е-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mail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:</w:t>
            </w:r>
            <w:r>
              <w:rPr>
                <w:rFonts w:ascii="Times New Roman" w:hAnsi="Times New Roman"/>
                <w:sz w:val="30"/>
                <w:szCs w:val="30"/>
                <w:lang w:val="be-BY" w:eastAsia="ru-RU"/>
              </w:rPr>
              <w:t xml:space="preserve"> </w:t>
            </w:r>
            <w:hyperlink r:id="rId9" w:history="1">
              <w:r>
                <w:rPr>
                  <w:rStyle w:val="ae"/>
                  <w:rFonts w:ascii="Times New Roman" w:hAnsi="Times New Roman"/>
                  <w:sz w:val="30"/>
                  <w:szCs w:val="30"/>
                  <w:lang w:val="en-US" w:eastAsia="ru-RU"/>
                </w:rPr>
                <w:t>info</w:t>
              </w:r>
              <w:r>
                <w:rPr>
                  <w:rStyle w:val="ae"/>
                  <w:rFonts w:ascii="Times New Roman" w:hAnsi="Times New Roman"/>
                  <w:sz w:val="30"/>
                  <w:szCs w:val="30"/>
                </w:rPr>
                <w:t>@</w:t>
              </w:r>
              <w:r>
                <w:rPr>
                  <w:rStyle w:val="ae"/>
                  <w:rFonts w:ascii="Times New Roman" w:hAnsi="Times New Roman"/>
                  <w:sz w:val="30"/>
                  <w:szCs w:val="30"/>
                  <w:lang w:val="en-US"/>
                </w:rPr>
                <w:t>maslenikov</w:t>
              </w:r>
              <w:r>
                <w:rPr>
                  <w:rStyle w:val="ae"/>
                  <w:rFonts w:ascii="Times New Roman" w:hAnsi="Times New Roman"/>
                  <w:sz w:val="30"/>
                  <w:szCs w:val="30"/>
                </w:rPr>
                <w:t>.</w:t>
              </w:r>
              <w:r>
                <w:rPr>
                  <w:rStyle w:val="ae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7. Прежняя помощь, полученная от других иностранных источников:</w:t>
            </w:r>
            <w:r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  <w:t xml:space="preserve"> иностранная безвозмездная помощь – живопись для комплектования музейных фондов и экспозиций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8. Требуемая сумма финансирования (в долларах США): </w:t>
            </w:r>
            <w:r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  <w:t>4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0 000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9.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Софинансирование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: 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не предполагается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10. Срок реализации проекта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: один год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>11. Цели проекта:</w:t>
            </w:r>
            <w:r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br/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t>- обеспечение благоприятной среды в музее для слабовидящих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>людей;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>- обучение детей взаимодействию с инвалидами;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>- образование и культурное воспитание детей и людей с ограниченными возможностями;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>- приобщение людей с ограниченными возможностями к восприятию музейной культуры путем внедрения интерактивных технологий в музейное пространство;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>- воспитание религиозной и культурной толерантности путем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>внедрения интерактивных экскурсий и программ.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>12. Задачи, планируемые к выполнению в рамках реализации проекта:</w:t>
            </w:r>
            <w:r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br/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- оснастить экспозиционные залы музея современным оборудованием (сенсорными экранами с возможностью аудио- и </w:t>
            </w:r>
            <w:proofErr w:type="spellStart"/>
            <w:r>
              <w:rPr>
                <w:rFonts w:ascii="Times New Roman" w:hAnsi="Times New Roman"/>
                <w:color w:val="000000"/>
                <w:sz w:val="30"/>
                <w:szCs w:val="30"/>
              </w:rPr>
              <w:t>видеосопровождения</w:t>
            </w:r>
            <w:proofErr w:type="spellEnd"/>
            <w:r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lastRenderedPageBreak/>
              <w:t>посетителя на нескольких языках: белорусский, русский, английский, китайский). Приобрести видеопроектор и акустическую систему для звукового сопровождения мероприятий музея, которое позволит внедрить интерактивные методы, повышающие интерес к музейной экспозиции, обеспечивая тем самым устойчивый дополнительный приток посетителей и формирование нового, интерактивного восприятия музея;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>- оснастить экспонаты экспозиционных залов музея шрифтом Брайля, что сделает музей более доступным для слабовидящих людей;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- добавить в экспозицию музея интерактивные макеты некоторых предметов для лучшего восприятия информации слабовидящими людьми, а также для проведения интерактивных занятий с детьми;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>- провести видеосъемки и аудиозапись экскурсии по всей экспозиции музея для выездных мероприятий в пансионаты и дома-интернаты для людей с ограниченными возможностями.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>
        <w:tc>
          <w:tcPr>
            <w:tcW w:w="9581" w:type="dxa"/>
          </w:tcPr>
          <w:p>
            <w:pPr>
              <w:tabs>
                <w:tab w:val="left" w:pos="30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lastRenderedPageBreak/>
              <w:t>13. Краткое описание мероприятий в рамках проекта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 xml:space="preserve">    Создание виртуальной экскурсии по экспозиции музея.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 xml:space="preserve">    Разработка инклюзивных культурно-образовательных программ с разработкой методологии, признающей всех детей  индивидуумами с различными потребностями в обучении.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 xml:space="preserve">    Проведение смешанных интерактивных экскурсий для школьников и людей с ограниченными возможностями, что повлияет на обучение взаимодействия детей с инвалидами и приобщение людей с ограниченными возможностями к общей музейной культуре.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 xml:space="preserve">    Организация интерактивных экскурсий для смешанных групп из представителей разных религиозных конфессий для воспитания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br/>
              <w:t xml:space="preserve">толерантности и личному взаимодействию представителей разных традиций друг с другом. </w:t>
            </w:r>
          </w:p>
          <w:p>
            <w:pPr>
              <w:spacing w:after="0" w:line="240" w:lineRule="auto"/>
              <w:ind w:firstLine="314"/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В рамках реализации проекта оснастятся экспозиционные залы музея современным оборудованием, которое позволит внедрить интерактивные методы обучения. </w:t>
            </w:r>
          </w:p>
          <w:p>
            <w:pPr>
              <w:spacing w:after="0" w:line="240" w:lineRule="auto"/>
              <w:ind w:firstLine="314"/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Планируется закупка мебели и оборудования, интерактивной техники, приобретение подвесной системы для экспонирования выставки, приобретение и установка направленного освещения,  системы   озвучивания   экспозиционных   залов,    программного  обеспечения    (разработка   приложения    для   самостоятельного    изучения  музейной экспозиции).</w:t>
            </w:r>
          </w:p>
          <w:p>
            <w:pPr>
              <w:spacing w:after="0" w:line="240" w:lineRule="auto"/>
              <w:ind w:firstLine="314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14. Обоснование проекта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 </w:t>
            </w:r>
          </w:p>
          <w:p>
            <w:pPr>
              <w:spacing w:after="0" w:line="240" w:lineRule="auto"/>
              <w:ind w:firstLine="314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На сегодняшний день одной из актуальных задач в Республике Беларусь и в мире в целом,   на что в том числе направлены усилия коллектива музея, это создание 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безбарьерной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среды в музее.       </w:t>
            </w:r>
            <w:r>
              <w:rPr>
                <w:rFonts w:ascii="Times New Roman" w:hAnsi="Times New Roman"/>
                <w:sz w:val="30"/>
                <w:szCs w:val="30"/>
              </w:rPr>
              <w:lastRenderedPageBreak/>
              <w:t xml:space="preserve">Ограниченность общения и социальной активности создает дополнительные психологические, экономические и другие проблемы, трудности для самих инвалидов и их близких. </w:t>
            </w:r>
          </w:p>
          <w:p>
            <w:pPr>
              <w:spacing w:after="0" w:line="240" w:lineRule="auto"/>
              <w:ind w:firstLine="314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Приобретение необходимого оборудования поможет создать все необходимые условия инвалидам для получения максимального доступа к увлечению культурным досугом, отвечающих их специфическим потребностям, а также будет способствовать социальной их адаптации, приобретению опыта равноправно конкурировать с полноценными в физическом отношении людьми.</w:t>
            </w:r>
          </w:p>
          <w:p>
            <w:pPr>
              <w:spacing w:after="0" w:line="240" w:lineRule="auto"/>
              <w:ind w:firstLine="314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15.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Деятельность после окончания проекта </w:t>
            </w:r>
          </w:p>
          <w:p>
            <w:pPr>
              <w:spacing w:after="0" w:line="240" w:lineRule="auto"/>
              <w:ind w:firstLine="314"/>
              <w:jc w:val="both"/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  <w:t>Реализация проекта позволит улучшить качество обслуживания людей с ограниченными возможностями, предоставить возможность в постоянном беспрепятственном посещении культурных мероприятий, приобщаться к художественным видам деятельности, использовать творческую среду для удовлетворения их социальной значимости и потребностей. Данный проект приведет к условиям обеспечения качества жизни в комплексной системе адаптации инвалидов по зрению.</w:t>
            </w:r>
          </w:p>
          <w:p>
            <w:pPr>
              <w:spacing w:after="0" w:line="240" w:lineRule="auto"/>
              <w:ind w:firstLine="314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>
        <w:tc>
          <w:tcPr>
            <w:tcW w:w="9581" w:type="dxa"/>
          </w:tcPr>
          <w:p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16. Расходы, связанные с реализацией проекта (в долларах США): 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40 000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</w:tbl>
    <w:p>
      <w:pPr>
        <w:spacing w:after="150" w:line="240" w:lineRule="auto"/>
        <w:rPr>
          <w:rFonts w:ascii="Times New Roman" w:hAnsi="Times New Roman"/>
          <w:sz w:val="30"/>
          <w:szCs w:val="30"/>
          <w:lang w:eastAsia="ru-RU"/>
        </w:rPr>
      </w:pPr>
    </w:p>
    <w:p>
      <w:pPr>
        <w:spacing w:after="15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130425" cy="2105025"/>
            <wp:effectExtent l="0" t="0" r="0" b="0"/>
            <wp:docPr id="2" name="Рисунок 2" descr="___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____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757420" cy="2133650"/>
            <wp:effectExtent l="0" t="0" r="0" b="0"/>
            <wp:docPr id="3" name="Рисунок 3" descr="459ad8bf5ad8736fcd292bbd92ceeee3d7cd5d87ac9ad314e94dd592369f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59ad8bf5ad8736fcd292bbd92ceeee3d7cd5d87ac9ad314e94dd592369f34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45" cy="218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0" w:line="240" w:lineRule="auto"/>
        <w:rPr>
          <w:rFonts w:ascii="Times New Roman" w:hAnsi="Times New Roman"/>
          <w:sz w:val="30"/>
          <w:szCs w:val="30"/>
          <w:lang w:eastAsia="ru-RU"/>
        </w:rPr>
      </w:pPr>
    </w:p>
    <w:p>
      <w:pPr>
        <w:spacing w:after="15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636322" cy="2038315"/>
            <wp:effectExtent l="0" t="0" r="0" b="635"/>
            <wp:docPr id="4" name="Рисунок 4" descr="20471_mainfoto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471_mainfoto1_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1" cy="205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176649" cy="2047529"/>
            <wp:effectExtent l="0" t="0" r="5080" b="0"/>
            <wp:docPr id="5" name="Рисунок 5" descr="conten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ontent_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85" cy="20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0" w:line="240" w:lineRule="auto"/>
        <w:jc w:val="center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397235" cy="2718057"/>
            <wp:effectExtent l="0" t="0" r="3175" b="6350"/>
            <wp:docPr id="6" name="Рисунок 6" descr="informacionnye-terminaly-tactile-vert-42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nformacionnye-terminaly-tactile-vert-42-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37" cy="27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37262" cy="2737262"/>
            <wp:effectExtent l="0" t="0" r="6350" b="6350"/>
            <wp:docPr id="7" name="Рисунок 7" descr="IsdMG233506-fill-120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sdMG233506-fill-1200x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19" cy="27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0" w:line="240" w:lineRule="auto"/>
        <w:jc w:val="center"/>
        <w:rPr>
          <w:rFonts w:ascii="Times New Roman" w:hAnsi="Times New Roman"/>
          <w:sz w:val="30"/>
          <w:szCs w:val="30"/>
          <w:lang w:eastAsia="ru-RU"/>
        </w:rPr>
      </w:pPr>
    </w:p>
    <w:p>
      <w:pPr>
        <w:spacing w:after="150" w:line="240" w:lineRule="auto"/>
        <w:jc w:val="center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4849626" cy="3325090"/>
            <wp:effectExtent l="0" t="0" r="8255" b="8890"/>
            <wp:docPr id="8" name="Рисунок 8" descr="takrilnie-indika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takrilnie-indikato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50" cy="333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30"/>
          <w:szCs w:val="30"/>
        </w:rPr>
      </w:pPr>
      <w:bookmarkStart w:id="0" w:name="_GoBack"/>
      <w:bookmarkEnd w:id="0"/>
    </w:p>
    <w:sectPr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10A8E"/>
    <w:multiLevelType w:val="hybridMultilevel"/>
    <w:tmpl w:val="DA74426C"/>
    <w:lvl w:ilvl="0" w:tplc="61042B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Pr>
      <w:rFonts w:cs="Times New Roman"/>
      <w:b/>
      <w:bCs/>
    </w:rPr>
  </w:style>
  <w:style w:type="character" w:styleId="a6">
    <w:name w:val="Emphasis"/>
    <w:basedOn w:val="a0"/>
    <w:uiPriority w:val="99"/>
    <w:qFormat/>
    <w:rPr>
      <w:rFonts w:ascii="Times New Roman" w:hAnsi="Times New Roman" w:cs="Times New Roman"/>
      <w:i/>
    </w:rPr>
  </w:style>
  <w:style w:type="paragraph" w:styleId="a7">
    <w:name w:val="List Paragraph"/>
    <w:basedOn w:val="a"/>
    <w:uiPriority w:val="99"/>
    <w:qFormat/>
    <w:pPr>
      <w:spacing w:after="200" w:line="276" w:lineRule="auto"/>
      <w:ind w:left="720"/>
      <w:contextualSpacing/>
    </w:p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Pr>
      <w:rFonts w:cs="Times New Roman"/>
    </w:r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Pr>
      <w:rFonts w:cs="Times New Roman"/>
    </w:rPr>
  </w:style>
  <w:style w:type="paragraph" w:styleId="ac">
    <w:name w:val="Balloon Text"/>
    <w:basedOn w:val="a"/>
    <w:link w:val="ad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Pr>
      <w:rFonts w:ascii="Tahoma" w:hAnsi="Tahoma" w:cs="Tahoma"/>
      <w:sz w:val="16"/>
      <w:szCs w:val="16"/>
      <w:lang w:eastAsia="en-US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Pr>
      <w:rFonts w:cs="Times New Roman"/>
      <w:b/>
      <w:bCs/>
    </w:rPr>
  </w:style>
  <w:style w:type="character" w:styleId="a6">
    <w:name w:val="Emphasis"/>
    <w:basedOn w:val="a0"/>
    <w:uiPriority w:val="99"/>
    <w:qFormat/>
    <w:rPr>
      <w:rFonts w:ascii="Times New Roman" w:hAnsi="Times New Roman" w:cs="Times New Roman"/>
      <w:i/>
    </w:rPr>
  </w:style>
  <w:style w:type="paragraph" w:styleId="a7">
    <w:name w:val="List Paragraph"/>
    <w:basedOn w:val="a"/>
    <w:uiPriority w:val="99"/>
    <w:qFormat/>
    <w:pPr>
      <w:spacing w:after="200" w:line="276" w:lineRule="auto"/>
      <w:ind w:left="720"/>
      <w:contextualSpacing/>
    </w:p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Pr>
      <w:rFonts w:cs="Times New Roman"/>
    </w:r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Pr>
      <w:rFonts w:cs="Times New Roman"/>
    </w:rPr>
  </w:style>
  <w:style w:type="paragraph" w:styleId="ac">
    <w:name w:val="Balloon Text"/>
    <w:basedOn w:val="a"/>
    <w:link w:val="ad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Pr>
      <w:rFonts w:ascii="Tahoma" w:hAnsi="Tahoma" w:cs="Tahoma"/>
      <w:sz w:val="16"/>
      <w:szCs w:val="16"/>
      <w:lang w:eastAsia="en-US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maslenikov.by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1629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37</cp:revision>
  <cp:lastPrinted>2022-05-30T14:39:00Z</cp:lastPrinted>
  <dcterms:created xsi:type="dcterms:W3CDTF">2022-03-02T08:40:00Z</dcterms:created>
  <dcterms:modified xsi:type="dcterms:W3CDTF">2022-07-15T14:30:00Z</dcterms:modified>
</cp:coreProperties>
</file>